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2511"/>
        <w:gridCol w:w="7217"/>
        <w:gridCol w:w="2537"/>
        <w:gridCol w:w="2521"/>
      </w:tblGrid>
      <w:tr w:rsidR="00F906C6" w:rsidRPr="00085E8E" w:rsidTr="00F906C6">
        <w:trPr>
          <w:trHeight w:val="416"/>
          <w:jc w:val="center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6C6" w:rsidRPr="00C04E5B" w:rsidRDefault="00F906C6" w:rsidP="00F906C6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Фабулы для проведения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муниципального </w:t>
            </w: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этапа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профориентационного</w:t>
            </w:r>
            <w:proofErr w:type="spellEnd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муткорта</w:t>
            </w:r>
            <w:proofErr w:type="spellEnd"/>
          </w:p>
          <w:p w:rsidR="00F906C6" w:rsidRPr="00C04E5B" w:rsidRDefault="00F906C6" w:rsidP="00F906C6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«А ты стал бы предпринимателем в Оренбуржье?»</w:t>
            </w:r>
          </w:p>
          <w:p w:rsidR="00F906C6" w:rsidRPr="00085E8E" w:rsidRDefault="00F906C6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5E8E" w:rsidRPr="00085E8E" w:rsidTr="00F906C6">
        <w:trPr>
          <w:trHeight w:val="416"/>
          <w:jc w:val="center"/>
        </w:trPr>
        <w:tc>
          <w:tcPr>
            <w:tcW w:w="2511" w:type="dxa"/>
            <w:vMerge w:val="restart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Отрасль экономики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Фабула (проблемная ситуация)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Ответьте на вопросы</w:t>
            </w:r>
          </w:p>
        </w:tc>
      </w:tr>
      <w:tr w:rsidR="00B660B9" w:rsidRPr="00085E8E" w:rsidTr="00F906C6">
        <w:trPr>
          <w:jc w:val="center"/>
        </w:trPr>
        <w:tc>
          <w:tcPr>
            <w:tcW w:w="2511" w:type="dxa"/>
            <w:vMerge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17" w:type="dxa"/>
            <w:vMerge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7" w:type="dxa"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Сторона защиты (ответчик)</w:t>
            </w:r>
          </w:p>
        </w:tc>
        <w:tc>
          <w:tcPr>
            <w:tcW w:w="2521" w:type="dxa"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Сторона обвинение (истец)</w:t>
            </w:r>
          </w:p>
        </w:tc>
      </w:tr>
      <w:tr w:rsidR="00085E8E" w:rsidRPr="00085E8E" w:rsidTr="00F906C6">
        <w:trPr>
          <w:jc w:val="center"/>
        </w:trPr>
        <w:tc>
          <w:tcPr>
            <w:tcW w:w="2511" w:type="dxa"/>
          </w:tcPr>
          <w:p w:rsidR="00085E8E" w:rsidRPr="00815146" w:rsidRDefault="00280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Предпринимательская деятельность</w:t>
            </w:r>
          </w:p>
        </w:tc>
        <w:tc>
          <w:tcPr>
            <w:tcW w:w="7217" w:type="dxa"/>
          </w:tcPr>
          <w:p w:rsidR="00280686" w:rsidRPr="00280686" w:rsidRDefault="00280686" w:rsidP="00904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8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одного из овощных магазинов заключила с овощной базой договор о хранении 20 т картофеля, приобретенного магазином для реализации. Картофель был заложен на хранение в оборудованный подвал жилого дома, где также хранилось 10 т картофеля, принадлежащего овощной базе. В результате значительного подъема воды в реке в период осенних наводнений картофель оказался залит водой и испорчен.</w:t>
            </w:r>
          </w:p>
          <w:p w:rsidR="00280686" w:rsidRPr="00280686" w:rsidRDefault="00280686" w:rsidP="009041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86">
              <w:rPr>
                <w:rFonts w:ascii="Times New Roman" w:eastAsia="Calibri" w:hAnsi="Times New Roman" w:cs="Times New Roman"/>
                <w:sz w:val="24"/>
                <w:szCs w:val="24"/>
              </w:rPr>
              <w:t>Магазин потребовал от овощной базы передать ему 20 т картофеля из другого хранилища. Представитель овощной базы в арбитражном суде заявил, что поскольку заложенный картофель хранился в отдельном помещении, то он должен рассматриваться как индивидуально-определенное имущество. Кроме того, он считал, что порча произошла в результате действий стихийного характера, т.е. непреодолимой силы, в силу чего овощная база должна быть освобождена от возмещения ущерба. В заседании была предъявлена справка о том, что имело место наводнение.</w:t>
            </w:r>
          </w:p>
          <w:p w:rsidR="00085E8E" w:rsidRPr="00085E8E" w:rsidRDefault="00085E8E" w:rsidP="00A257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  <w:gridSpan w:val="2"/>
          </w:tcPr>
          <w:p w:rsidR="00A25743" w:rsidRDefault="00A25743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всех сторон предлагается ответить на следующие вопросы:</w:t>
            </w:r>
            <w:r w:rsidRPr="00085E8E">
              <w:rPr>
                <w:rFonts w:ascii="Times New Roman" w:hAnsi="Times New Roman" w:cs="Times New Roman"/>
              </w:rPr>
              <w:t xml:space="preserve"> </w:t>
            </w:r>
          </w:p>
          <w:p w:rsidR="00045B11" w:rsidRDefault="00045B11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D51A0" w:rsidRDefault="001D51A0" w:rsidP="00A2574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51A0">
              <w:rPr>
                <w:rFonts w:ascii="Times New Roman" w:hAnsi="Times New Roman" w:cs="Times New Roman"/>
              </w:rPr>
              <w:t xml:space="preserve">Понятие </w:t>
            </w:r>
            <w:r w:rsidR="00280686">
              <w:rPr>
                <w:rFonts w:ascii="Times New Roman" w:hAnsi="Times New Roman" w:cs="Times New Roman"/>
              </w:rPr>
              <w:t>договора хранения</w:t>
            </w:r>
            <w:r w:rsidRPr="001D51A0">
              <w:rPr>
                <w:rFonts w:ascii="Times New Roman" w:hAnsi="Times New Roman" w:cs="Times New Roman"/>
              </w:rPr>
              <w:t>?</w:t>
            </w:r>
          </w:p>
          <w:p w:rsidR="001D51A0" w:rsidRDefault="00280686" w:rsidP="00A2574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Знаете ли Вы, что такое</w:t>
            </w:r>
            <w:r w:rsidRPr="00280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индивидуально-определенное имущество</w:t>
            </w:r>
            <w:r w:rsidR="00A25743" w:rsidRPr="001D51A0">
              <w:rPr>
                <w:rFonts w:ascii="Times New Roman" w:hAnsi="Times New Roman" w:cs="Times New Roman"/>
              </w:rPr>
              <w:t>?</w:t>
            </w:r>
          </w:p>
          <w:p w:rsidR="001D51A0" w:rsidRDefault="00280686" w:rsidP="00A2574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Знакомо ли вам понятие непреодолимой силы (форс-мажор)?</w:t>
            </w:r>
          </w:p>
          <w:p w:rsidR="00A25743" w:rsidRPr="00045B11" w:rsidRDefault="00280686" w:rsidP="0028068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06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Несет ли ответственность лицо, если докажет, что  не исполнило или ненадлежащим образом исполнило обязательство при осуществлении предпринимательской деятельности, вследствие непреодолимой силы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</w:p>
          <w:p w:rsidR="00045B11" w:rsidRPr="00280686" w:rsidRDefault="00045B11" w:rsidP="0028068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какого момента переходит ответственност</w:t>
            </w:r>
            <w:r w:rsidR="006C1C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 за имущество к хранителю по договору хран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ения?</w:t>
            </w:r>
          </w:p>
        </w:tc>
      </w:tr>
      <w:tr w:rsidR="00085E8E" w:rsidRPr="00085E8E" w:rsidTr="00F906C6">
        <w:trPr>
          <w:jc w:val="center"/>
        </w:trPr>
        <w:tc>
          <w:tcPr>
            <w:tcW w:w="2511" w:type="dxa"/>
          </w:tcPr>
          <w:p w:rsidR="00085E8E" w:rsidRPr="00815146" w:rsidRDefault="00045B11" w:rsidP="00EC385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7217" w:type="dxa"/>
          </w:tcPr>
          <w:p w:rsidR="00280686" w:rsidRPr="00280686" w:rsidRDefault="00280686" w:rsidP="00280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80686">
              <w:rPr>
                <w:rFonts w:ascii="Times New Roman" w:eastAsia="Calibri" w:hAnsi="Times New Roman" w:cs="Times New Roman"/>
              </w:rPr>
              <w:t>Исполнительным директором АО «</w:t>
            </w:r>
            <w:r>
              <w:rPr>
                <w:rFonts w:ascii="Times New Roman" w:eastAsia="Calibri" w:hAnsi="Times New Roman" w:cs="Times New Roman"/>
              </w:rPr>
              <w:t>Петровское</w:t>
            </w:r>
            <w:r w:rsidRPr="00280686">
              <w:rPr>
                <w:rFonts w:ascii="Times New Roman" w:eastAsia="Calibri" w:hAnsi="Times New Roman" w:cs="Times New Roman"/>
              </w:rPr>
              <w:t xml:space="preserve">» было написано письмо главе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Новоорского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района </w:t>
            </w:r>
            <w:r w:rsidRPr="00280686">
              <w:rPr>
                <w:rFonts w:ascii="Times New Roman" w:eastAsia="Calibri" w:hAnsi="Times New Roman" w:cs="Times New Roman"/>
              </w:rPr>
              <w:t xml:space="preserve"> с просьбой </w:t>
            </w:r>
            <w:proofErr w:type="gramStart"/>
            <w:r w:rsidRPr="00280686">
              <w:rPr>
                <w:rFonts w:ascii="Times New Roman" w:eastAsia="Calibri" w:hAnsi="Times New Roman" w:cs="Times New Roman"/>
              </w:rPr>
              <w:t>разрешить</w:t>
            </w:r>
            <w:proofErr w:type="gramEnd"/>
            <w:r w:rsidRPr="00280686">
              <w:rPr>
                <w:rFonts w:ascii="Times New Roman" w:eastAsia="Calibri" w:hAnsi="Times New Roman" w:cs="Times New Roman"/>
              </w:rPr>
              <w:t xml:space="preserve"> АО перейти на уплату единого сельскохозяйственного налога. Было отмечено, что АО стабильно, на протяжении нескольких лет занимается производством зерновых культур, выращиванием КРС, является примерным налогоплательщиком, общий доход от реализации сельскохозяйственной продукции в общем объеме выручки составляет более 60 %.</w:t>
            </w:r>
          </w:p>
          <w:p w:rsidR="00280686" w:rsidRPr="00280686" w:rsidRDefault="00280686" w:rsidP="002806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80686">
              <w:rPr>
                <w:rFonts w:ascii="Times New Roman" w:eastAsia="Calibri" w:hAnsi="Times New Roman" w:cs="Times New Roman"/>
              </w:rPr>
              <w:t xml:space="preserve">      Как осуществляется переход сельскохозяйственных производителей на упрощенную систему налогообложения – единый </w:t>
            </w:r>
            <w:r w:rsidRPr="00280686">
              <w:rPr>
                <w:rFonts w:ascii="Times New Roman" w:eastAsia="Calibri" w:hAnsi="Times New Roman" w:cs="Times New Roman"/>
              </w:rPr>
              <w:lastRenderedPageBreak/>
              <w:t>сельскохозяйственный налог?</w:t>
            </w:r>
          </w:p>
          <w:p w:rsidR="00085E8E" w:rsidRPr="00085E8E" w:rsidRDefault="0008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  <w:gridSpan w:val="2"/>
          </w:tcPr>
          <w:p w:rsidR="00280686" w:rsidRDefault="00280686" w:rsidP="00280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0B9">
              <w:rPr>
                <w:rFonts w:ascii="Times New Roman" w:hAnsi="Times New Roman" w:cs="Times New Roman"/>
              </w:rPr>
              <w:lastRenderedPageBreak/>
              <w:t xml:space="preserve">Для всех сторон предлагается ответить на следующие вопросы: </w:t>
            </w:r>
          </w:p>
          <w:p w:rsidR="006C1CA6" w:rsidRPr="00B660B9" w:rsidRDefault="006C1CA6" w:rsidP="00280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85E8E" w:rsidRDefault="00280686" w:rsidP="0028068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Дайте определение акционерному обществу, где содержится данное определение?</w:t>
            </w:r>
          </w:p>
          <w:p w:rsidR="00280686" w:rsidRPr="00280686" w:rsidRDefault="00486ACF" w:rsidP="0028068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</w:t>
            </w:r>
            <w:r w:rsidR="00280686" w:rsidRPr="00280686">
              <w:rPr>
                <w:rFonts w:ascii="Times New Roman" w:hAnsi="Times New Roman" w:cs="Times New Roman"/>
              </w:rPr>
              <w:t xml:space="preserve"> порядок выбора системы </w:t>
            </w:r>
            <w:proofErr w:type="spellStart"/>
            <w:r w:rsidR="00280686" w:rsidRPr="00280686">
              <w:rPr>
                <w:rFonts w:ascii="Times New Roman" w:hAnsi="Times New Roman" w:cs="Times New Roman"/>
              </w:rPr>
              <w:t>налогооблажения</w:t>
            </w:r>
            <w:proofErr w:type="spellEnd"/>
            <w:r w:rsidR="00280686" w:rsidRPr="00280686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Правильно ли обратилось АО в администрацию с просьбой о переходе?</w:t>
            </w:r>
          </w:p>
          <w:p w:rsidR="00280686" w:rsidRPr="00280686" w:rsidRDefault="00280686" w:rsidP="0028068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80686">
              <w:rPr>
                <w:rFonts w:ascii="Times New Roman" w:hAnsi="Times New Roman" w:cs="Times New Roman"/>
              </w:rPr>
              <w:lastRenderedPageBreak/>
              <w:t xml:space="preserve">Что представляет собой </w:t>
            </w:r>
            <w:r w:rsidRPr="00280686">
              <w:rPr>
                <w:rFonts w:ascii="Times New Roman" w:eastAsia="Calibri" w:hAnsi="Times New Roman" w:cs="Times New Roman"/>
              </w:rPr>
              <w:t>единый сельскохозяйственный налог?</w:t>
            </w:r>
          </w:p>
          <w:p w:rsidR="00280686" w:rsidRPr="00280686" w:rsidRDefault="00045B11" w:rsidP="0028068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имеет право перехода на </w:t>
            </w:r>
            <w:r w:rsidRPr="00280686">
              <w:rPr>
                <w:rFonts w:ascii="Times New Roman" w:eastAsia="Calibri" w:hAnsi="Times New Roman" w:cs="Times New Roman"/>
              </w:rPr>
              <w:t>единый сельскохозяйственный налог?</w:t>
            </w:r>
          </w:p>
        </w:tc>
      </w:tr>
      <w:tr w:rsidR="00085E8E" w:rsidRPr="00085E8E" w:rsidTr="00F906C6">
        <w:trPr>
          <w:jc w:val="center"/>
        </w:trPr>
        <w:tc>
          <w:tcPr>
            <w:tcW w:w="2511" w:type="dxa"/>
          </w:tcPr>
          <w:p w:rsidR="00085E8E" w:rsidRPr="00085E8E" w:rsidRDefault="00045B11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подсобное хозяйство</w:t>
            </w:r>
          </w:p>
        </w:tc>
        <w:tc>
          <w:tcPr>
            <w:tcW w:w="7217" w:type="dxa"/>
          </w:tcPr>
          <w:p w:rsidR="00045B11" w:rsidRPr="00045B11" w:rsidRDefault="00045B11" w:rsidP="00045B1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Иванов А.С. и Петров Н.П. решили заняться ведением личного подсобного хозяйства. </w:t>
            </w:r>
            <w:proofErr w:type="gramStart"/>
            <w:r w:rsidRPr="00045B11">
              <w:rPr>
                <w:rFonts w:ascii="Times New Roman" w:eastAsia="Calibri" w:hAnsi="Times New Roman" w:cs="Times New Roman"/>
              </w:rPr>
              <w:t>Для формирования имущества семья Иванова А.С. внесла в общее имущество хозяйственный инвентарь, а землю, на которой будет осуществляться ведение – Петров Н.П.. По окончанию второго года сын Иванова А.С., достигший 17 лет решил жениться и самостоятельно заняться ведением подсобного хозяйства, для чего он потребовал выделить ему часть земельного участка.</w:t>
            </w:r>
            <w:proofErr w:type="gramEnd"/>
          </w:p>
          <w:p w:rsidR="00085E8E" w:rsidRPr="00045B11" w:rsidRDefault="00045B11" w:rsidP="00045B11">
            <w:pPr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5058" w:type="dxa"/>
            <w:gridSpan w:val="2"/>
          </w:tcPr>
          <w:p w:rsidR="00045B11" w:rsidRPr="00045B11" w:rsidRDefault="00045B11" w:rsidP="00045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hAnsi="Times New Roman" w:cs="Times New Roman"/>
              </w:rPr>
              <w:t xml:space="preserve">Для всех сторон предлагается ответить на следующие вопросы: </w:t>
            </w:r>
          </w:p>
          <w:p w:rsidR="00045B11" w:rsidRPr="00045B11" w:rsidRDefault="00045B11" w:rsidP="00045B1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45B11" w:rsidRPr="00045B11" w:rsidRDefault="00045B11" w:rsidP="00045B1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Что понимается под личным подсобным хозяйством?</w:t>
            </w:r>
          </w:p>
          <w:p w:rsidR="00045B11" w:rsidRPr="00045B11" w:rsidRDefault="00045B11" w:rsidP="00045B1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Порядок создания личного подсобного хозяйства?</w:t>
            </w:r>
          </w:p>
          <w:p w:rsidR="00045B11" w:rsidRPr="00045B11" w:rsidRDefault="00045B11" w:rsidP="00045B1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Как осуществляется выход членов личного подсобного хозяйства из хозяйства?</w:t>
            </w:r>
          </w:p>
          <w:p w:rsidR="00045B11" w:rsidRPr="00045B11" w:rsidRDefault="00045B11" w:rsidP="00045B1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 Какое имущество может быть выделено выходящему члену?</w:t>
            </w:r>
          </w:p>
          <w:p w:rsidR="00045B11" w:rsidRPr="00045B11" w:rsidRDefault="00045B11" w:rsidP="00045B11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Относятся ли граждане ведущие личное подсобное хозяйство к сельскохозяйственным товаропроизводителям?</w:t>
            </w:r>
          </w:p>
          <w:p w:rsidR="00085E8E" w:rsidRPr="00045B11" w:rsidRDefault="00085E8E">
            <w:pPr>
              <w:rPr>
                <w:rFonts w:ascii="Times New Roman" w:hAnsi="Times New Roman" w:cs="Times New Roman"/>
              </w:rPr>
            </w:pPr>
          </w:p>
        </w:tc>
      </w:tr>
      <w:tr w:rsidR="001967A1" w:rsidRPr="00085E8E" w:rsidTr="00F906C6">
        <w:trPr>
          <w:jc w:val="center"/>
        </w:trPr>
        <w:tc>
          <w:tcPr>
            <w:tcW w:w="2511" w:type="dxa"/>
          </w:tcPr>
          <w:p w:rsidR="001967A1" w:rsidRDefault="00B660B9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7217" w:type="dxa"/>
          </w:tcPr>
          <w:p w:rsidR="00B660B9" w:rsidRPr="00045B11" w:rsidRDefault="00B660B9" w:rsidP="00B660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Производственный кооператив «Солнечный» на протяжении 5 лет занимается производством мяса, выращиванием птицы, зерна, а так пошив верхней рабочей одежды. За первое полугодие кооператив от продажи зерна и мяса получил выручки в стоимостном выражении 38 % от общего объема реализованной продукции за полугодие, во втором полугодии 89 %. </w:t>
            </w:r>
          </w:p>
          <w:p w:rsidR="00B660B9" w:rsidRPr="00045B11" w:rsidRDefault="00B660B9" w:rsidP="00B660B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1967A1" w:rsidRPr="00045B11" w:rsidRDefault="001967A1" w:rsidP="00085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  <w:gridSpan w:val="2"/>
          </w:tcPr>
          <w:p w:rsidR="00B660B9" w:rsidRPr="00045B11" w:rsidRDefault="00B660B9" w:rsidP="00B66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hAnsi="Times New Roman" w:cs="Times New Roman"/>
              </w:rPr>
              <w:t xml:space="preserve">Для всех сторон предлагается ответить на следующие вопросы: </w:t>
            </w:r>
          </w:p>
          <w:p w:rsidR="00B660B9" w:rsidRPr="00045B11" w:rsidRDefault="00B660B9" w:rsidP="008151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B660B9" w:rsidRPr="00045B11" w:rsidRDefault="00B660B9" w:rsidP="00B660B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 xml:space="preserve">Знаете ли вы определение сельскохозяйственного товаропроизводителя? </w:t>
            </w:r>
          </w:p>
          <w:p w:rsidR="00B660B9" w:rsidRPr="00045B11" w:rsidRDefault="00B660B9" w:rsidP="00B660B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В каких нормативных актах содержится определение сельскохозяйственный товаропроизводитель?</w:t>
            </w:r>
          </w:p>
          <w:p w:rsidR="00B660B9" w:rsidRPr="00045B11" w:rsidRDefault="00B660B9" w:rsidP="00B660B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Является ли производственный кооператив «Солнечный» сельскохозяйственным товаропроизводителем?</w:t>
            </w:r>
          </w:p>
          <w:p w:rsidR="001967A1" w:rsidRPr="00045B11" w:rsidRDefault="00B660B9" w:rsidP="00B660B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5B11">
              <w:rPr>
                <w:rFonts w:ascii="Times New Roman" w:eastAsia="Calibri" w:hAnsi="Times New Roman" w:cs="Times New Roman"/>
              </w:rPr>
              <w:t>Признается ли данная организация участником агарных правоотношений?</w:t>
            </w:r>
          </w:p>
        </w:tc>
      </w:tr>
    </w:tbl>
    <w:p w:rsidR="00A11F9E" w:rsidRDefault="00A11F9E"/>
    <w:sectPr w:rsidR="00A11F9E" w:rsidSect="00B65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F68"/>
    <w:multiLevelType w:val="hybridMultilevel"/>
    <w:tmpl w:val="D86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4391"/>
    <w:multiLevelType w:val="hybridMultilevel"/>
    <w:tmpl w:val="373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824C0"/>
    <w:multiLevelType w:val="hybridMultilevel"/>
    <w:tmpl w:val="C6A0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65F3E"/>
    <w:multiLevelType w:val="hybridMultilevel"/>
    <w:tmpl w:val="8706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79D"/>
    <w:multiLevelType w:val="hybridMultilevel"/>
    <w:tmpl w:val="0314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691C"/>
    <w:multiLevelType w:val="hybridMultilevel"/>
    <w:tmpl w:val="47644488"/>
    <w:lvl w:ilvl="0" w:tplc="5BB6D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A3A"/>
    <w:rsid w:val="00045B11"/>
    <w:rsid w:val="00085E8E"/>
    <w:rsid w:val="000D793D"/>
    <w:rsid w:val="001967A1"/>
    <w:rsid w:val="001D51A0"/>
    <w:rsid w:val="00280686"/>
    <w:rsid w:val="002E5604"/>
    <w:rsid w:val="00402C82"/>
    <w:rsid w:val="00486ACF"/>
    <w:rsid w:val="00526538"/>
    <w:rsid w:val="006C1CA6"/>
    <w:rsid w:val="00815146"/>
    <w:rsid w:val="008812B1"/>
    <w:rsid w:val="00904144"/>
    <w:rsid w:val="00A11F9E"/>
    <w:rsid w:val="00A25743"/>
    <w:rsid w:val="00B65A3A"/>
    <w:rsid w:val="00B660B9"/>
    <w:rsid w:val="00EC3851"/>
    <w:rsid w:val="00F906C6"/>
    <w:rsid w:val="00F9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C3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3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</cp:lastModifiedBy>
  <cp:revision>5</cp:revision>
  <dcterms:created xsi:type="dcterms:W3CDTF">2024-02-27T10:25:00Z</dcterms:created>
  <dcterms:modified xsi:type="dcterms:W3CDTF">2024-02-27T10:50:00Z</dcterms:modified>
</cp:coreProperties>
</file>